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AE" w:rsidRPr="007742AE" w:rsidRDefault="007742AE" w:rsidP="007742AE">
      <w:pPr>
        <w:numPr>
          <w:ilvl w:val="0"/>
          <w:numId w:val="1"/>
        </w:numPr>
        <w:pBdr>
          <w:top w:val="single" w:sz="6" w:space="5" w:color="DDDDDD"/>
          <w:left w:val="single" w:sz="6" w:space="11" w:color="DDDDDD"/>
          <w:bottom w:val="single" w:sz="6" w:space="5" w:color="DDDDDD"/>
          <w:right w:val="single" w:sz="6" w:space="11" w:color="DDDDDD"/>
        </w:pBdr>
        <w:shd w:val="clear" w:color="auto" w:fill="FBFBFB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742AE">
        <w:rPr>
          <w:rFonts w:ascii="Helvetica" w:eastAsia="Times New Roman" w:hAnsi="Helvetica" w:cs="Helvetica"/>
          <w:color w:val="333333"/>
          <w:sz w:val="20"/>
        </w:rPr>
        <w:t> </w:t>
      </w:r>
    </w:p>
    <w:p w:rsidR="007742AE" w:rsidRPr="007742AE" w:rsidRDefault="002F68FB" w:rsidP="007742AE">
      <w:pPr>
        <w:numPr>
          <w:ilvl w:val="0"/>
          <w:numId w:val="1"/>
        </w:numPr>
        <w:pBdr>
          <w:top w:val="single" w:sz="6" w:space="5" w:color="DDDDDD"/>
          <w:left w:val="single" w:sz="6" w:space="11" w:color="DDDDDD"/>
          <w:bottom w:val="single" w:sz="6" w:space="5" w:color="DDDDDD"/>
          <w:right w:val="single" w:sz="6" w:space="11" w:color="DDDDDD"/>
        </w:pBdr>
        <w:shd w:val="clear" w:color="auto" w:fill="FBFBFB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6" w:tooltip="Новости Управления Федеральной службы по надзору в сфере защиты прав потребителей и благополучия человека по Саратовской области" w:history="1">
        <w:r w:rsidR="007742AE" w:rsidRPr="007742AE">
          <w:rPr>
            <w:rFonts w:ascii="Helvetica" w:eastAsia="Times New Roman" w:hAnsi="Helvetica" w:cs="Helvetica"/>
            <w:color w:val="0E517E"/>
            <w:sz w:val="20"/>
            <w:u w:val="single"/>
          </w:rPr>
          <w:t>Новости Управления Федеральной службы по надзору в сфере защиты прав потребителей и благополучия человека по Саратовской области</w:t>
        </w:r>
      </w:hyperlink>
    </w:p>
    <w:p w:rsidR="007742AE" w:rsidRPr="007742AE" w:rsidRDefault="007742AE" w:rsidP="007742AE">
      <w:pPr>
        <w:shd w:val="clear" w:color="auto" w:fill="FFFFFF"/>
        <w:spacing w:after="150" w:line="390" w:lineRule="atLeast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</w:rPr>
      </w:pPr>
      <w:bookmarkStart w:id="0" w:name="_GoBack"/>
      <w:r w:rsidRPr="007742AE">
        <w:rPr>
          <w:rFonts w:ascii="Arial" w:eastAsia="Times New Roman" w:hAnsi="Arial" w:cs="Arial"/>
          <w:color w:val="333333"/>
          <w:kern w:val="36"/>
          <w:sz w:val="27"/>
          <w:szCs w:val="27"/>
        </w:rPr>
        <w:t>Профилактика геморрагической лихорадки с почечным синдромом в осенне-зимний период.</w:t>
      </w:r>
    </w:p>
    <w:bookmarkEnd w:id="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42AE" w:rsidRPr="007742AE" w:rsidTr="007742AE">
        <w:tc>
          <w:tcPr>
            <w:tcW w:w="5000" w:type="pct"/>
            <w:shd w:val="clear" w:color="auto" w:fill="FFFFFF"/>
            <w:hideMark/>
          </w:tcPr>
          <w:p w:rsidR="007742AE" w:rsidRPr="007742AE" w:rsidRDefault="007742AE" w:rsidP="007742AE">
            <w:pPr>
              <w:spacing w:after="12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7742AE" w:rsidRPr="007742AE" w:rsidTr="007742AE">
        <w:tc>
          <w:tcPr>
            <w:tcW w:w="5000" w:type="pct"/>
            <w:shd w:val="clear" w:color="auto" w:fill="E9E9E9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9340"/>
            </w:tblGrid>
            <w:tr w:rsidR="007742AE" w:rsidRPr="007742A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2AE" w:rsidRPr="007742AE" w:rsidRDefault="007742AE" w:rsidP="00774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5715000"/>
                        <wp:effectExtent l="0" t="0" r="0" b="0"/>
                        <wp:docPr id="2" name="Рисунок 2" descr="http://saratov.gov.ru/bitrix/templates/government_12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ratov.gov.ru/bitrix/templates/government_12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7742AE" w:rsidRPr="007742AE">
                    <w:tc>
                      <w:tcPr>
                        <w:tcW w:w="11070" w:type="dxa"/>
                        <w:shd w:val="clear" w:color="auto" w:fill="auto"/>
                        <w:tcMar>
                          <w:top w:w="225" w:type="dxa"/>
                          <w:left w:w="15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7742AE" w:rsidRPr="007742AE" w:rsidRDefault="007742AE" w:rsidP="007742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52500" cy="1028700"/>
                              <wp:effectExtent l="19050" t="0" r="0" b="0"/>
                              <wp:docPr id="3" name="Рисунок 3" descr="http://saratov.gov.ru/upload/iblock/a0e/crnhgrwh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aratov.gov.ru/upload/iblock/a0e/crnhgrwh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Геморрагическая лихорадка с почечным синдромом — это острое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природно-очаговое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заболевание, характеризующееся лихорадкой, геморрагическим синдромом (т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.е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кровоизлияниями, кровотечением), выраженным поражением почек. Является одной из самых распространенных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природноочаговых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инфекций на территории Саратовской области.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Природные очаги этой инфекции выявлены в лесных массивах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30-ти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районов области и зеленой зоны г. Саратова.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Наиболее активные природные очаги геморрагической лихорадки с почечным синдромом (ГЛПС) расположены в зеленой зоне г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аратова (Кумысная поляна), Аткарском,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Калинин-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ском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Татищевском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Саратовском, Вольском,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Лысогорском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Петровском,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Базарно-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Карабулакском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районах.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Случаи заболевания населения ГЛПС регистрируются в области ежегодно. За весь период регистрации ГЛПС в области, с 1964 по 2009 гг. зарегистрировано 6207 больных, из них 31 больной умер.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Подъёмы заболеваемости ГЛПС регистрируются в области каждые 4 — 6 лет, что определяет актуальность этой проблемы для области, учитывая тяжесть течения заболевания и </w:t>
                        </w:r>
                        <w:proofErr w:type="spellStart"/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реги-страцию</w:t>
                        </w:r>
                        <w:proofErr w:type="spellEnd"/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летальных случаев.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За 8 месяцев 2010г. в 11-ти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административных территориях области зарегистрирован 31 случай ГЛПС, что в 1,4 раза (или на 13 случаев) меньше аналогичного периода 2009г. (44 случая). 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 90,3% (28 случаев) заболевания протекали в тяжелой и среднетяжелой формах, 7 человек прошли через реанимационное отделение, из них на искусственной почке находились 5 человека.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Наибольшее число случаев зарегистрировано в городе Саратове.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По типам заражения: лесной тип составил 45,2% (14 случаев), бытовой — 45,2% (14 случаев),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садово-огородный — 9,6% (3 случая).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 предварительным данным зоологических обследований осенью 2010 года отмечается снижение средней численности мышевидных грызунов в 1,4 раза, доли в отловах рыжей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полевки-основного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носителя вируса ГЛПС в 1,7 раза, инфицированности мышевидных грызунов вирусом ГЛПС в 2,8 раза по сравнению со средне-осенними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многолетними данными, что связано с жарким засушливым летом, недостаточной кормовой базой для грызунов, однако на отдельных участках отмечается повышенная численность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мышевидных грызунов, особенно в лесных оврагах, пойменных лесах, то есть в местах с повышенной влажностью.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По предварительным данным зоологических обследований прогноз по ГЛПС на осенне-зимний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период 2010 — 2011 гг. относительно благоприятный, но не исключается спорадическая заболеваемость ГЛПС среди населения.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С наступлением холодов начнется активная миграция мышевидных грызунов в жилые и хозяйственные постройки, это может привести к подъему заболеваемости ГЛП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Для Саратовской области характерен рост заболеваемости в осенне-зимние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месяцы.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Вирус ГЛПС выделяется во внешнюю среду с мочой, испражнениями и слюной грызунов.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Заражение человека происходит: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1. При вдыхании инфицированной пыли во время уборки подвалов, погребов, садовых домиков, расположенных в лесу или рядом с ним; при сборе хвороста, валежника, ягод, грибов; при ночевках в стогах сена, скирдах соломы, шалашах, заброшенных в лесу сторожках, вагончиках и других нежилых постройках.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2. При употреблении пищевых продуктов, загрязненных выделениями инфицированных грызунов (со следами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погрызов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экскрементами грызунов);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3. Контактные заражения при отлове грызунов, при попадании свежих экскрементов грызунов в ссадины и царапины на коже, несоблюдении правил личной гигиены в период пребывания в лесу.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 xml:space="preserve">С целью предупреждения случаев заражений населения в осенне-зимний период ГЛПС необходимо 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lastRenderedPageBreak/>
                          <w:t>соблюдать меры профилактики: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 заделать все щели, отверстия в жилых и хозяйственных постройках, дачных домиках, расположенных вблизи леса, с целью предупреждения их заселения грызунами с наступлением холодов; заделать металлической сеткой с диаметром отверстий не более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5-10 мм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все вентиляционные и другие отверстия, окна подвалов, низко расположенных над землей (менее 50 см.);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- не допускать формирования самопроизвольных свалок мусора в лесных массивах вокруг жилых и хозяйственных построек,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садово-огородных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кооперативов, так как скопление мусора, отходов способствует выживанию грызунов;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 — 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использовать средства индивидуальной защиты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(4-х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слойную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увлажненную марлевую маску, рукавицы, спецодежду, обувь) при перевозке сена, соломы, заготовке дров, хвороста в лесу, уборке подвалов, сараев, гаражей и других работах, связанных с возгонкой пыли;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- избегать ночевок в стогах сена, скирдах соломы, шалашах, ветхих заброшенных строениях;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 — проветривать помещения и проводить влажную уборку с применением дезинфицирующих средств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(200-300 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граммхлорамина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или 20 грамм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сульфохлорантина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на 10 литров воды, либо других дезинфицирующих препаратов) перед заселением лесных 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сторожек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охотничьих домиков, уборкой погребов, гаражей, подвалов, хозяйственных построек;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 — </w:t>
                        </w:r>
                        <w:proofErr w:type="gram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провести в октябре-ноябре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грызуноистребительные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работы с использованием давилок, капканов, клея АЛТ, БЛОК для механического отлова грызунов, отравленных приманок (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родиолон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шторм, </w:t>
                        </w:r>
                        <w:proofErr w:type="spellStart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раттидион</w:t>
                        </w:r>
                        <w:proofErr w:type="spell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бром-паста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 других, разрешенных к применению приманок) в жилых и хозяйственных постройках, гаражах, дачных домиках (перед их консервацией на зиму);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- хранить продукты в таре, недоступной для грызунов; не употреблять в пищу продукты, попорченные грызунами;</w:t>
                        </w:r>
                        <w:proofErr w:type="gramEnd"/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- соблюдать правила личной гигиены (мыть руки перед едой), не ловить и не брать в руки грызунов или их трупы, не браться грязными руками за мундштук сигареты.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При появлении признаков заболевания ГЛПС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 повышении температуры, болей в области поясницы, мышцах, уменьшении количества выделяемой мочи и изменении ее цвета немедленно обращайтесь к врачу. Самолечение опасно!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</w:rPr>
                          <w:t>Помните! Ваше здоровье во многом зависит от Вас!</w:t>
                        </w:r>
                        <w:r w:rsidRPr="007742AE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:rsidR="007742AE" w:rsidRPr="007742AE" w:rsidRDefault="007742AE" w:rsidP="00774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42AE" w:rsidRPr="007742AE" w:rsidRDefault="007742AE" w:rsidP="007742AE">
            <w:pPr>
              <w:spacing w:after="12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FA5D89" w:rsidRDefault="00FA5D89"/>
    <w:sectPr w:rsidR="00FA5D89" w:rsidSect="008C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43D1"/>
    <w:multiLevelType w:val="multilevel"/>
    <w:tmpl w:val="318C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E"/>
    <w:rsid w:val="002F68FB"/>
    <w:rsid w:val="007742AE"/>
    <w:rsid w:val="008C0C62"/>
    <w:rsid w:val="00ED3062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4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42AE"/>
  </w:style>
  <w:style w:type="character" w:customStyle="1" w:styleId="divider">
    <w:name w:val="divider"/>
    <w:basedOn w:val="a0"/>
    <w:rsid w:val="007742AE"/>
  </w:style>
  <w:style w:type="character" w:styleId="a4">
    <w:name w:val="Strong"/>
    <w:basedOn w:val="a0"/>
    <w:uiPriority w:val="22"/>
    <w:qFormat/>
    <w:rsid w:val="00774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4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42AE"/>
  </w:style>
  <w:style w:type="character" w:customStyle="1" w:styleId="divider">
    <w:name w:val="divider"/>
    <w:basedOn w:val="a0"/>
    <w:rsid w:val="007742AE"/>
  </w:style>
  <w:style w:type="character" w:styleId="a4">
    <w:name w:val="Strong"/>
    <w:basedOn w:val="a0"/>
    <w:uiPriority w:val="22"/>
    <w:qFormat/>
    <w:rsid w:val="00774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gov.ru/government/structure/rospotnad/new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dcterms:created xsi:type="dcterms:W3CDTF">2014-10-10T09:48:00Z</dcterms:created>
  <dcterms:modified xsi:type="dcterms:W3CDTF">2014-10-10T09:48:00Z</dcterms:modified>
</cp:coreProperties>
</file>